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7C" w:rsidRDefault="00274B7C" w:rsidP="00274B7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EE79602" wp14:editId="1572C217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B7C" w:rsidRPr="00CA0EF2" w:rsidRDefault="00274B7C" w:rsidP="00274B7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74B7C" w:rsidRPr="002927F0" w:rsidRDefault="00274B7C" w:rsidP="00274B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274B7C" w:rsidRPr="002927F0" w:rsidRDefault="00274B7C" w:rsidP="00274B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3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er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Secundaria</w:t>
      </w:r>
    </w:p>
    <w:p w:rsidR="00274B7C" w:rsidRPr="002927F0" w:rsidRDefault="00274B7C" w:rsidP="00274B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Informática</w:t>
      </w:r>
    </w:p>
    <w:p w:rsidR="00274B7C" w:rsidRDefault="00274B7C" w:rsidP="00274B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1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(</w:t>
      </w:r>
      <w:proofErr w:type="gramStart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Abril</w:t>
      </w:r>
      <w:proofErr w:type="gramEnd"/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)</w:t>
      </w:r>
    </w:p>
    <w:p w:rsidR="00274B7C" w:rsidRDefault="00274B7C" w:rsidP="005D342F">
      <w:pPr>
        <w:jc w:val="both"/>
        <w:rPr>
          <w:noProof/>
          <w:lang w:val="es-ES"/>
        </w:rPr>
      </w:pPr>
    </w:p>
    <w:p w:rsidR="00D33A78" w:rsidRPr="00DC06AF" w:rsidRDefault="00DC06AF" w:rsidP="005D342F">
      <w:pPr>
        <w:jc w:val="both"/>
        <w:rPr>
          <w:noProof/>
          <w:lang w:val="es-DO"/>
        </w:rPr>
      </w:pPr>
      <w:r w:rsidRPr="00DC06AF">
        <w:rPr>
          <w:noProof/>
          <w:lang w:val="es-DO"/>
        </w:rPr>
        <w:t xml:space="preserve">Ver el sigte video de youtube:  </w:t>
      </w:r>
      <w:hyperlink r:id="rId6" w:history="1">
        <w:r w:rsidRPr="00DC06AF">
          <w:rPr>
            <w:rStyle w:val="Hipervnculo"/>
            <w:lang w:val="es-DO"/>
          </w:rPr>
          <w:t>https://www.youtube.com/watch?v=0fB-B82Epx0</w:t>
        </w:r>
      </w:hyperlink>
    </w:p>
    <w:p w:rsidR="00D33A78" w:rsidRPr="006940DC" w:rsidRDefault="00274B7C" w:rsidP="005D342F">
      <w:pPr>
        <w:jc w:val="both"/>
        <w:rPr>
          <w:noProof/>
          <w:lang w:val="es-D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222988</wp:posOffset>
            </wp:positionH>
            <wp:positionV relativeFrom="paragraph">
              <wp:posOffset>604914</wp:posOffset>
            </wp:positionV>
            <wp:extent cx="7468974" cy="4201298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cion 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974" cy="420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0DC" w:rsidRPr="006940DC">
        <w:rPr>
          <w:noProof/>
          <w:lang w:val="es-DO"/>
        </w:rPr>
        <w:t>Copiar la informacion suministrada mas adelante en la cual debe de ver la diferencia entre cada uno de los avances en la tegnologia</w:t>
      </w:r>
      <w:r w:rsidR="000B53AD">
        <w:rPr>
          <w:noProof/>
          <w:lang w:val="es-DO"/>
        </w:rPr>
        <w:t>,</w:t>
      </w:r>
      <w:r w:rsidR="006940DC" w:rsidRPr="006940DC">
        <w:rPr>
          <w:noProof/>
          <w:lang w:val="es-DO"/>
        </w:rPr>
        <w:t xml:space="preserve"> </w:t>
      </w:r>
      <w:r w:rsidR="003C6F7B">
        <w:rPr>
          <w:noProof/>
          <w:lang w:val="es-DO"/>
        </w:rPr>
        <w:t xml:space="preserve">dicho avance hace el paso de una generacion a otra, por ejemplo en la primera generacion utilizaba tubos de vacio mientras en la segunda generacion de computadoras </w:t>
      </w:r>
      <w:r w:rsidR="000B53AD">
        <w:rPr>
          <w:noProof/>
          <w:lang w:val="es-DO"/>
        </w:rPr>
        <w:t>se utilizaban los transistores y asi sucesivamente</w:t>
      </w:r>
      <w:r w:rsidR="005D342F">
        <w:rPr>
          <w:noProof/>
          <w:lang w:val="es-DO"/>
        </w:rPr>
        <w:t xml:space="preserve">. Copiar </w:t>
      </w:r>
      <w:r w:rsidR="001317E6">
        <w:rPr>
          <w:noProof/>
          <w:lang w:val="es-DO"/>
        </w:rPr>
        <w:t>lgeneracion por generación.</w:t>
      </w:r>
    </w:p>
    <w:p w:rsidR="00996006" w:rsidRPr="00274B7C" w:rsidRDefault="00274B7C">
      <w:pPr>
        <w:rPr>
          <w:lang w:val="es-ES"/>
        </w:rPr>
      </w:pPr>
    </w:p>
    <w:p w:rsidR="00D33A78" w:rsidRPr="00274B7C" w:rsidRDefault="00D33A78">
      <w:pPr>
        <w:rPr>
          <w:lang w:val="es-ES"/>
        </w:rPr>
      </w:pPr>
    </w:p>
    <w:p w:rsidR="00D33A78" w:rsidRPr="00274B7C" w:rsidRDefault="00D33A78">
      <w:pPr>
        <w:rPr>
          <w:lang w:val="es-ES"/>
        </w:rPr>
      </w:pPr>
    </w:p>
    <w:p w:rsidR="008F158D" w:rsidRPr="00274B7C" w:rsidRDefault="008F158D">
      <w:pPr>
        <w:rPr>
          <w:noProof/>
          <w:lang w:val="es-ES"/>
        </w:rPr>
      </w:pPr>
    </w:p>
    <w:p w:rsidR="008F158D" w:rsidRPr="00274B7C" w:rsidRDefault="008F158D">
      <w:pPr>
        <w:rPr>
          <w:noProof/>
          <w:lang w:val="es-ES"/>
        </w:rPr>
      </w:pPr>
    </w:p>
    <w:p w:rsidR="008F158D" w:rsidRPr="00274B7C" w:rsidRDefault="008F158D">
      <w:pPr>
        <w:rPr>
          <w:noProof/>
          <w:lang w:val="es-ES"/>
        </w:rPr>
      </w:pPr>
    </w:p>
    <w:p w:rsidR="00D33A78" w:rsidRDefault="00174F2A">
      <w:r>
        <w:rPr>
          <w:noProof/>
        </w:rPr>
        <w:lastRenderedPageBreak/>
        <w:drawing>
          <wp:inline distT="0" distB="0" distL="0" distR="0" wp14:anchorId="2CE33A84" wp14:editId="2448984C">
            <wp:extent cx="8229600" cy="46294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cion 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58D" w:rsidRDefault="008F158D"/>
    <w:p w:rsidR="008F158D" w:rsidRDefault="008F158D"/>
    <w:p w:rsidR="00274B7C" w:rsidRDefault="00274B7C">
      <w:r>
        <w:br w:type="page"/>
      </w:r>
    </w:p>
    <w:p w:rsidR="008F158D" w:rsidRDefault="008F158D"/>
    <w:p w:rsidR="00EE168C" w:rsidRDefault="00EE168C" w:rsidP="00EE168C">
      <w:pPr>
        <w:pStyle w:val="Ttulo3"/>
        <w:rPr>
          <w:sz w:val="24"/>
          <w:szCs w:val="24"/>
        </w:rPr>
      </w:pPr>
      <w:r>
        <w:rPr>
          <w:sz w:val="24"/>
          <w:szCs w:val="24"/>
        </w:rPr>
        <w:t xml:space="preserve">Realizar las siguientes </w:t>
      </w:r>
      <w:r w:rsidR="00742C5C">
        <w:rPr>
          <w:sz w:val="24"/>
          <w:szCs w:val="24"/>
        </w:rPr>
        <w:t>prácticas</w:t>
      </w:r>
      <w:r>
        <w:rPr>
          <w:sz w:val="24"/>
          <w:szCs w:val="24"/>
        </w:rPr>
        <w:t xml:space="preserve"> en Excel</w:t>
      </w:r>
      <w:r w:rsidRPr="003D6EFE">
        <w:rPr>
          <w:sz w:val="24"/>
          <w:szCs w:val="24"/>
        </w:rPr>
        <w:t xml:space="preserve">.  </w:t>
      </w:r>
    </w:p>
    <w:p w:rsidR="00EE168C" w:rsidRDefault="00EE168C" w:rsidP="00EE168C">
      <w:pPr>
        <w:pStyle w:val="Ttulo3"/>
        <w:rPr>
          <w:sz w:val="24"/>
          <w:szCs w:val="24"/>
        </w:rPr>
      </w:pPr>
    </w:p>
    <w:p w:rsidR="00EE168C" w:rsidRPr="003D6EFE" w:rsidRDefault="00EE168C" w:rsidP="00EE168C">
      <w:pPr>
        <w:pStyle w:val="Ttulo3"/>
        <w:numPr>
          <w:ilvl w:val="0"/>
          <w:numId w:val="2"/>
        </w:numPr>
        <w:rPr>
          <w:sz w:val="24"/>
          <w:szCs w:val="24"/>
        </w:rPr>
      </w:pPr>
      <w:r w:rsidRPr="003D6EFE">
        <w:rPr>
          <w:sz w:val="24"/>
          <w:szCs w:val="24"/>
        </w:rPr>
        <w:t>Completa la siguiente tabla correctamente:</w:t>
      </w:r>
    </w:p>
    <w:p w:rsidR="00EE168C" w:rsidRPr="00EE168C" w:rsidRDefault="00EE168C" w:rsidP="00EE168C">
      <w:pPr>
        <w:jc w:val="both"/>
        <w:rPr>
          <w:szCs w:val="24"/>
          <w:lang w:val="es-DO"/>
        </w:rPr>
      </w:pPr>
    </w:p>
    <w:p w:rsidR="00EE168C" w:rsidRPr="00EE168C" w:rsidRDefault="00EE168C" w:rsidP="00EE168C">
      <w:pPr>
        <w:jc w:val="center"/>
        <w:rPr>
          <w:szCs w:val="24"/>
          <w:lang w:val="es-DO"/>
        </w:rPr>
      </w:pPr>
      <w:r w:rsidRPr="00EE168C">
        <w:rPr>
          <w:szCs w:val="24"/>
          <w:lang w:val="es-DO"/>
        </w:rPr>
        <w:t xml:space="preserve">NOTAS MENSUALES PARA UNA MATERIA </w:t>
      </w:r>
    </w:p>
    <w:p w:rsidR="00EE168C" w:rsidRPr="00EE168C" w:rsidRDefault="00EE168C" w:rsidP="00EE168C">
      <w:pPr>
        <w:jc w:val="center"/>
        <w:rPr>
          <w:szCs w:val="24"/>
          <w:lang w:val="es-DO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3"/>
        <w:gridCol w:w="1033"/>
        <w:gridCol w:w="915"/>
        <w:gridCol w:w="1014"/>
        <w:gridCol w:w="915"/>
        <w:gridCol w:w="1171"/>
        <w:gridCol w:w="964"/>
        <w:gridCol w:w="908"/>
        <w:gridCol w:w="964"/>
        <w:gridCol w:w="1062"/>
        <w:gridCol w:w="1090"/>
      </w:tblGrid>
      <w:tr w:rsidR="00EE168C" w:rsidRPr="00EE168C" w:rsidTr="00AC6EF3">
        <w:trPr>
          <w:trHeight w:val="161"/>
          <w:jc w:val="center"/>
        </w:trPr>
        <w:tc>
          <w:tcPr>
            <w:tcW w:w="493" w:type="dxa"/>
            <w:tcBorders>
              <w:bottom w:val="single" w:sz="12" w:space="0" w:color="000000"/>
            </w:tcBorders>
            <w:shd w:val="clear" w:color="auto" w:fill="BFBFBF"/>
          </w:tcPr>
          <w:p w:rsidR="00EE168C" w:rsidRPr="00EE168C" w:rsidRDefault="00EE168C" w:rsidP="005C4D54">
            <w:pPr>
              <w:jc w:val="both"/>
              <w:rPr>
                <w:szCs w:val="24"/>
                <w:lang w:val="es-DO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A</w:t>
            </w:r>
          </w:p>
        </w:tc>
        <w:tc>
          <w:tcPr>
            <w:tcW w:w="915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B</w:t>
            </w:r>
          </w:p>
        </w:tc>
        <w:tc>
          <w:tcPr>
            <w:tcW w:w="1014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C</w:t>
            </w:r>
          </w:p>
        </w:tc>
        <w:tc>
          <w:tcPr>
            <w:tcW w:w="915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D</w:t>
            </w:r>
          </w:p>
        </w:tc>
        <w:tc>
          <w:tcPr>
            <w:tcW w:w="1171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E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F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G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H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auto"/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I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</w:tcPr>
          <w:p w:rsidR="00EE168C" w:rsidRPr="00EE168C" w:rsidRDefault="00EE168C" w:rsidP="005C4D54">
            <w:pPr>
              <w:jc w:val="center"/>
              <w:rPr>
                <w:b/>
                <w:szCs w:val="24"/>
                <w:lang w:val="es-DO"/>
              </w:rPr>
            </w:pPr>
            <w:r w:rsidRPr="00EE168C">
              <w:rPr>
                <w:b/>
                <w:szCs w:val="24"/>
                <w:lang w:val="es-DO"/>
              </w:rPr>
              <w:t>J</w:t>
            </w:r>
          </w:p>
        </w:tc>
      </w:tr>
      <w:tr w:rsidR="00EE168C" w:rsidRPr="00EE168C" w:rsidTr="00AC6EF3">
        <w:trPr>
          <w:trHeight w:val="161"/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Sept.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Oct.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Nov.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Dic.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E168C" w:rsidRPr="00EE168C" w:rsidRDefault="000040AE" w:rsidP="005C4D54">
            <w:pPr>
              <w:jc w:val="center"/>
              <w:rPr>
                <w:szCs w:val="24"/>
                <w:lang w:val="es-DO"/>
              </w:rPr>
            </w:pPr>
            <w:r>
              <w:rPr>
                <w:szCs w:val="24"/>
                <w:lang w:val="es-DO"/>
              </w:rPr>
              <w:t>Promedio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70%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Pru</w:t>
            </w:r>
            <w:r w:rsidR="00DC06AF">
              <w:rPr>
                <w:szCs w:val="24"/>
                <w:lang w:val="es-DO"/>
              </w:rPr>
              <w:t>eba</w:t>
            </w:r>
            <w:r w:rsidRPr="00EE168C">
              <w:rPr>
                <w:szCs w:val="24"/>
                <w:lang w:val="es-DO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30%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CF</w:t>
            </w:r>
          </w:p>
        </w:tc>
        <w:tc>
          <w:tcPr>
            <w:tcW w:w="1062" w:type="dxa"/>
            <w:vAlign w:val="center"/>
          </w:tcPr>
          <w:p w:rsidR="00EE168C" w:rsidRPr="00EE168C" w:rsidRDefault="00EE168C" w:rsidP="005C4D54">
            <w:pPr>
              <w:jc w:val="center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50% Prom</w:t>
            </w:r>
            <w:r w:rsidR="000B755E">
              <w:rPr>
                <w:szCs w:val="24"/>
                <w:lang w:val="es-DO"/>
              </w:rPr>
              <w:t>edio</w:t>
            </w:r>
          </w:p>
        </w:tc>
      </w:tr>
      <w:tr w:rsidR="00EE168C" w:rsidRPr="003D6EFE" w:rsidTr="00AC6EF3">
        <w:trPr>
          <w:trHeight w:val="161"/>
          <w:jc w:val="center"/>
        </w:trPr>
        <w:tc>
          <w:tcPr>
            <w:tcW w:w="493" w:type="dxa"/>
            <w:shd w:val="clear" w:color="auto" w:fill="auto"/>
          </w:tcPr>
          <w:p w:rsidR="00EE168C" w:rsidRPr="00EE168C" w:rsidRDefault="00EE168C" w:rsidP="005C4D54">
            <w:pPr>
              <w:jc w:val="right"/>
              <w:rPr>
                <w:szCs w:val="24"/>
                <w:lang w:val="es-DO"/>
              </w:rPr>
            </w:pPr>
            <w:r w:rsidRPr="00EE168C">
              <w:rPr>
                <w:szCs w:val="24"/>
                <w:lang w:val="es-DO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EE168C" w:rsidRPr="00EE168C" w:rsidRDefault="00AC6EF3" w:rsidP="00AC6EF3">
            <w:pPr>
              <w:jc w:val="center"/>
              <w:rPr>
                <w:szCs w:val="24"/>
                <w:lang w:val="es-DO"/>
              </w:rPr>
            </w:pPr>
            <w:r>
              <w:rPr>
                <w:szCs w:val="24"/>
                <w:lang w:val="es-DO"/>
              </w:rPr>
              <w:t>91</w:t>
            </w:r>
          </w:p>
        </w:tc>
        <w:tc>
          <w:tcPr>
            <w:tcW w:w="915" w:type="dxa"/>
            <w:shd w:val="clear" w:color="auto" w:fill="auto"/>
          </w:tcPr>
          <w:p w:rsidR="00EE168C" w:rsidRPr="00EE168C" w:rsidRDefault="00AC6EF3" w:rsidP="005C4D54">
            <w:pPr>
              <w:jc w:val="center"/>
              <w:rPr>
                <w:szCs w:val="24"/>
                <w:lang w:val="es-DO"/>
              </w:rPr>
            </w:pPr>
            <w:r>
              <w:rPr>
                <w:szCs w:val="24"/>
                <w:lang w:val="es-DO"/>
              </w:rPr>
              <w:t>88</w:t>
            </w:r>
          </w:p>
        </w:tc>
        <w:tc>
          <w:tcPr>
            <w:tcW w:w="1014" w:type="dxa"/>
            <w:shd w:val="clear" w:color="auto" w:fill="auto"/>
          </w:tcPr>
          <w:p w:rsidR="00EE168C" w:rsidRPr="00EE168C" w:rsidRDefault="00AC6EF3" w:rsidP="00AC6EF3">
            <w:pPr>
              <w:jc w:val="center"/>
              <w:rPr>
                <w:szCs w:val="24"/>
                <w:lang w:val="es-DO"/>
              </w:rPr>
            </w:pPr>
            <w:r>
              <w:rPr>
                <w:szCs w:val="24"/>
                <w:lang w:val="es-DO"/>
              </w:rPr>
              <w:t>85</w:t>
            </w:r>
          </w:p>
        </w:tc>
        <w:tc>
          <w:tcPr>
            <w:tcW w:w="915" w:type="dxa"/>
            <w:shd w:val="clear" w:color="auto" w:fill="auto"/>
          </w:tcPr>
          <w:p w:rsidR="00EE168C" w:rsidRPr="003D6EFE" w:rsidRDefault="00EE168C" w:rsidP="005C4D54">
            <w:pPr>
              <w:jc w:val="center"/>
              <w:rPr>
                <w:szCs w:val="24"/>
              </w:rPr>
            </w:pPr>
            <w:r w:rsidRPr="003D6EFE">
              <w:rPr>
                <w:szCs w:val="24"/>
              </w:rPr>
              <w:t>92</w:t>
            </w:r>
          </w:p>
        </w:tc>
        <w:tc>
          <w:tcPr>
            <w:tcW w:w="1171" w:type="dxa"/>
            <w:shd w:val="clear" w:color="auto" w:fill="auto"/>
          </w:tcPr>
          <w:p w:rsidR="00EE168C" w:rsidRPr="003D6EFE" w:rsidRDefault="00EE168C" w:rsidP="005C4D54">
            <w:pPr>
              <w:jc w:val="both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EE168C" w:rsidRPr="003D6EFE" w:rsidRDefault="00EE168C" w:rsidP="005C4D54">
            <w:pPr>
              <w:jc w:val="both"/>
              <w:rPr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EE168C" w:rsidRPr="003D6EFE" w:rsidRDefault="00AC6EF3" w:rsidP="005C4D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EE168C" w:rsidRPr="003D6EFE" w:rsidRDefault="00EE168C" w:rsidP="005C4D54">
            <w:pPr>
              <w:jc w:val="both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EE168C" w:rsidRPr="003D6EFE" w:rsidRDefault="00EE168C" w:rsidP="005C4D54">
            <w:pPr>
              <w:jc w:val="both"/>
              <w:rPr>
                <w:szCs w:val="24"/>
              </w:rPr>
            </w:pPr>
          </w:p>
        </w:tc>
        <w:tc>
          <w:tcPr>
            <w:tcW w:w="1062" w:type="dxa"/>
          </w:tcPr>
          <w:p w:rsidR="00EE168C" w:rsidRPr="003D6EFE" w:rsidRDefault="00EE168C" w:rsidP="005C4D54">
            <w:pPr>
              <w:jc w:val="both"/>
              <w:rPr>
                <w:szCs w:val="24"/>
              </w:rPr>
            </w:pPr>
          </w:p>
        </w:tc>
      </w:tr>
    </w:tbl>
    <w:p w:rsidR="00EE168C" w:rsidRPr="003D6EFE" w:rsidRDefault="00EE168C" w:rsidP="00EE168C">
      <w:pPr>
        <w:ind w:left="720"/>
        <w:jc w:val="both"/>
        <w:rPr>
          <w:szCs w:val="24"/>
        </w:rPr>
      </w:pPr>
    </w:p>
    <w:p w:rsidR="00EE168C" w:rsidRPr="000040AE" w:rsidRDefault="00EE168C" w:rsidP="00EE168C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s-DO"/>
        </w:rPr>
      </w:pPr>
      <w:r w:rsidRPr="00EE168C">
        <w:rPr>
          <w:szCs w:val="24"/>
          <w:lang w:val="es-DO"/>
        </w:rPr>
        <w:t xml:space="preserve">La fórmula correcta para encontrar el promedio es de las calificaciones desde sept. Hasta Dic. </w:t>
      </w:r>
      <w:r w:rsidR="000040AE">
        <w:rPr>
          <w:szCs w:val="24"/>
          <w:lang w:val="es-DO"/>
        </w:rPr>
        <w:t>e</w:t>
      </w:r>
      <w:r w:rsidRPr="000040AE">
        <w:rPr>
          <w:szCs w:val="24"/>
          <w:lang w:val="es-DO"/>
        </w:rPr>
        <w:t>s _________________________________.</w:t>
      </w:r>
    </w:p>
    <w:p w:rsidR="00EE168C" w:rsidRPr="00EE168C" w:rsidRDefault="00EE168C" w:rsidP="00EE168C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s-DO"/>
        </w:rPr>
      </w:pPr>
      <w:r w:rsidRPr="00EE168C">
        <w:rPr>
          <w:szCs w:val="24"/>
          <w:lang w:val="es-DO"/>
        </w:rPr>
        <w:t>La fórmula correcta para encontrar el 70% del promedio es _________________________________.</w:t>
      </w:r>
    </w:p>
    <w:p w:rsidR="00EE168C" w:rsidRPr="00EE168C" w:rsidRDefault="00EE168C" w:rsidP="00EE168C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s-DO"/>
        </w:rPr>
      </w:pPr>
      <w:r w:rsidRPr="00EE168C">
        <w:rPr>
          <w:szCs w:val="24"/>
          <w:lang w:val="es-DO"/>
        </w:rPr>
        <w:t>La fórmula correcta para encontrar el 30% de la prueba es _________________________________________.</w:t>
      </w:r>
    </w:p>
    <w:p w:rsidR="00EE168C" w:rsidRDefault="00EE168C" w:rsidP="00EE168C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s-DO"/>
        </w:rPr>
      </w:pPr>
      <w:r w:rsidRPr="00EE168C">
        <w:rPr>
          <w:szCs w:val="24"/>
          <w:lang w:val="es-DO"/>
        </w:rPr>
        <w:t xml:space="preserve">La fórmula correcta para encontrar la </w:t>
      </w:r>
      <w:r w:rsidR="000040AE" w:rsidRPr="00EE168C">
        <w:rPr>
          <w:szCs w:val="24"/>
          <w:lang w:val="es-DO"/>
        </w:rPr>
        <w:t>calificación</w:t>
      </w:r>
      <w:r w:rsidRPr="00EE168C">
        <w:rPr>
          <w:szCs w:val="24"/>
          <w:lang w:val="es-DO"/>
        </w:rPr>
        <w:t xml:space="preserve"> final (CF) es ____________________________________.</w:t>
      </w:r>
    </w:p>
    <w:p w:rsidR="000040AE" w:rsidRDefault="009F145D" w:rsidP="00EE168C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es-DO"/>
        </w:rPr>
      </w:pPr>
      <w:r>
        <w:rPr>
          <w:szCs w:val="24"/>
          <w:lang w:val="es-DO"/>
        </w:rPr>
        <w:t>La fórmula correcta para obtener el 50% del promedio es ______________________________________.</w:t>
      </w:r>
    </w:p>
    <w:p w:rsidR="002247DC" w:rsidRPr="00EE168C" w:rsidRDefault="002247DC" w:rsidP="002247DC">
      <w:pPr>
        <w:spacing w:after="0" w:line="240" w:lineRule="auto"/>
        <w:jc w:val="both"/>
        <w:rPr>
          <w:szCs w:val="24"/>
          <w:lang w:val="es-DO"/>
        </w:rPr>
      </w:pPr>
    </w:p>
    <w:p w:rsidR="00742C5C" w:rsidRDefault="00742C5C" w:rsidP="00742C5C">
      <w:pPr>
        <w:pStyle w:val="Textoindependiente"/>
        <w:rPr>
          <w:noProof/>
          <w:sz w:val="24"/>
          <w:szCs w:val="24"/>
        </w:rPr>
      </w:pPr>
      <w:r>
        <w:rPr>
          <w:noProof/>
          <w:sz w:val="24"/>
          <w:szCs w:val="24"/>
        </w:rPr>
        <w:t>02.-</w:t>
      </w:r>
      <w:r w:rsidRPr="003D6EFE">
        <w:rPr>
          <w:noProof/>
          <w:sz w:val="24"/>
          <w:szCs w:val="24"/>
        </w:rPr>
        <w:t xml:space="preserve">  Con el contenido del rango de da</w:t>
      </w:r>
      <w:r w:rsidR="00F21F54">
        <w:rPr>
          <w:noProof/>
          <w:sz w:val="24"/>
          <w:szCs w:val="24"/>
        </w:rPr>
        <w:t xml:space="preserve">tos numerico desde B5 hasta H24 </w:t>
      </w:r>
      <w:r w:rsidRPr="003D6EFE">
        <w:rPr>
          <w:noProof/>
          <w:sz w:val="24"/>
          <w:szCs w:val="24"/>
        </w:rPr>
        <w:t>realizar las sigtes funciones:</w:t>
      </w:r>
    </w:p>
    <w:p w:rsidR="00F21F54" w:rsidRPr="003D6EFE" w:rsidRDefault="00F21F54" w:rsidP="0033349E">
      <w:pPr>
        <w:pStyle w:val="Textoindependient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Ejemplo:   </w:t>
      </w:r>
      <w:r w:rsidR="00B75B36" w:rsidRPr="00B75B36">
        <w:rPr>
          <w:b w:val="0"/>
          <w:noProof/>
          <w:sz w:val="24"/>
          <w:szCs w:val="24"/>
        </w:rPr>
        <w:t>Para obtener el valor minimo o menor del rango usamos la funcion:</w:t>
      </w:r>
      <w:r w:rsidR="00B75B36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>=</w:t>
      </w:r>
      <w:r w:rsidR="00B829D3">
        <w:rPr>
          <w:noProof/>
          <w:sz w:val="24"/>
          <w:szCs w:val="24"/>
        </w:rPr>
        <w:t>MIN(B5:H24)</w:t>
      </w:r>
    </w:p>
    <w:p w:rsidR="00742C5C" w:rsidRPr="003D6EFE" w:rsidRDefault="00742C5C" w:rsidP="00742C5C">
      <w:pPr>
        <w:pStyle w:val="Textoindependiente"/>
        <w:rPr>
          <w:noProof/>
          <w:sz w:val="24"/>
          <w:szCs w:val="24"/>
        </w:rPr>
      </w:pPr>
    </w:p>
    <w:p w:rsidR="00742C5C" w:rsidRPr="00742C5C" w:rsidRDefault="00742C5C" w:rsidP="00742C5C">
      <w:pPr>
        <w:numPr>
          <w:ilvl w:val="0"/>
          <w:numId w:val="3"/>
        </w:numPr>
        <w:spacing w:after="0" w:line="360" w:lineRule="auto"/>
        <w:rPr>
          <w:noProof/>
          <w:szCs w:val="24"/>
          <w:lang w:val="es-DO"/>
        </w:rPr>
      </w:pPr>
      <w:r w:rsidRPr="00742C5C">
        <w:rPr>
          <w:noProof/>
          <w:szCs w:val="24"/>
          <w:lang w:val="es-DO"/>
        </w:rPr>
        <w:t>Sumar el contenido de los primeros 5 valores</w:t>
      </w:r>
      <w:r w:rsidR="0033349E">
        <w:rPr>
          <w:noProof/>
          <w:szCs w:val="24"/>
          <w:lang w:val="es-DO"/>
        </w:rPr>
        <w:t xml:space="preserve">     </w:t>
      </w:r>
    </w:p>
    <w:p w:rsidR="00742C5C" w:rsidRPr="00742C5C" w:rsidRDefault="00742C5C" w:rsidP="00742C5C">
      <w:pPr>
        <w:numPr>
          <w:ilvl w:val="0"/>
          <w:numId w:val="3"/>
        </w:numPr>
        <w:spacing w:after="0" w:line="360" w:lineRule="auto"/>
        <w:rPr>
          <w:noProof/>
          <w:szCs w:val="24"/>
          <w:lang w:val="es-DO"/>
        </w:rPr>
      </w:pPr>
      <w:r w:rsidRPr="00742C5C">
        <w:rPr>
          <w:noProof/>
          <w:szCs w:val="24"/>
          <w:lang w:val="es-DO"/>
        </w:rPr>
        <w:t>Sumar el rango completo</w:t>
      </w:r>
    </w:p>
    <w:p w:rsidR="00742C5C" w:rsidRPr="00742C5C" w:rsidRDefault="00742C5C" w:rsidP="00742C5C">
      <w:pPr>
        <w:numPr>
          <w:ilvl w:val="0"/>
          <w:numId w:val="3"/>
        </w:numPr>
        <w:spacing w:after="0" w:line="360" w:lineRule="auto"/>
        <w:rPr>
          <w:noProof/>
          <w:szCs w:val="24"/>
          <w:lang w:val="es-DO"/>
        </w:rPr>
      </w:pPr>
      <w:r w:rsidRPr="00742C5C">
        <w:rPr>
          <w:noProof/>
          <w:szCs w:val="24"/>
          <w:lang w:val="es-DO"/>
        </w:rPr>
        <w:t>Obtener el valor promedio del rango</w:t>
      </w:r>
    </w:p>
    <w:p w:rsidR="00742C5C" w:rsidRPr="003D6EFE" w:rsidRDefault="00742C5C" w:rsidP="00742C5C">
      <w:pPr>
        <w:pStyle w:val="Textoindependiente"/>
        <w:rPr>
          <w:noProof/>
          <w:sz w:val="24"/>
          <w:szCs w:val="24"/>
        </w:rPr>
      </w:pPr>
    </w:p>
    <w:p w:rsidR="00742C5C" w:rsidRPr="003D6EFE" w:rsidRDefault="0033349E" w:rsidP="00742C5C">
      <w:pPr>
        <w:pStyle w:val="Textoindependiente"/>
        <w:rPr>
          <w:noProof/>
          <w:sz w:val="24"/>
          <w:szCs w:val="24"/>
        </w:rPr>
      </w:pPr>
      <w:r>
        <w:rPr>
          <w:noProof/>
          <w:sz w:val="24"/>
          <w:szCs w:val="24"/>
        </w:rPr>
        <w:t>03.-</w:t>
      </w:r>
      <w:r w:rsidR="00742C5C" w:rsidRPr="003D6EFE">
        <w:rPr>
          <w:noProof/>
          <w:sz w:val="24"/>
          <w:szCs w:val="24"/>
        </w:rPr>
        <w:t xml:space="preserve"> Si el contenido desde  B8 hasta B15 es numerico, determinar:</w:t>
      </w:r>
    </w:p>
    <w:p w:rsidR="00E346C1" w:rsidRDefault="00742C5C" w:rsidP="00032723">
      <w:pPr>
        <w:numPr>
          <w:ilvl w:val="0"/>
          <w:numId w:val="4"/>
        </w:numPr>
        <w:spacing w:after="0" w:line="240" w:lineRule="auto"/>
        <w:rPr>
          <w:noProof/>
          <w:szCs w:val="24"/>
          <w:lang w:val="es-DO"/>
        </w:rPr>
      </w:pPr>
      <w:r w:rsidRPr="00E346C1">
        <w:rPr>
          <w:noProof/>
          <w:szCs w:val="24"/>
          <w:lang w:val="es-DO"/>
        </w:rPr>
        <w:t>La suma</w:t>
      </w:r>
      <w:r w:rsidR="00E346C1">
        <w:rPr>
          <w:noProof/>
          <w:szCs w:val="24"/>
          <w:lang w:val="es-DO"/>
        </w:rPr>
        <w:t xml:space="preserve">r el contenido </w:t>
      </w:r>
      <w:r w:rsidRPr="00E346C1">
        <w:rPr>
          <w:noProof/>
          <w:szCs w:val="24"/>
          <w:lang w:val="es-DO"/>
        </w:rPr>
        <w:t xml:space="preserve"> del rango de celdas  </w:t>
      </w:r>
      <w:r w:rsidR="003E39D5">
        <w:rPr>
          <w:noProof/>
          <w:szCs w:val="24"/>
          <w:lang w:val="es-DO"/>
        </w:rPr>
        <w:t xml:space="preserve">en la celda </w:t>
      </w:r>
      <w:r w:rsidR="003E39D5" w:rsidRPr="003E39D5">
        <w:rPr>
          <w:b/>
          <w:noProof/>
          <w:szCs w:val="24"/>
          <w:lang w:val="es-DO"/>
        </w:rPr>
        <w:t>B20</w:t>
      </w:r>
      <w:r w:rsidR="00C4583C">
        <w:rPr>
          <w:b/>
          <w:noProof/>
          <w:szCs w:val="24"/>
          <w:lang w:val="es-DO"/>
        </w:rPr>
        <w:t xml:space="preserve">  _______________</w:t>
      </w:r>
    </w:p>
    <w:p w:rsidR="00742C5C" w:rsidRPr="00E346C1" w:rsidRDefault="00E346C1" w:rsidP="00032723">
      <w:pPr>
        <w:numPr>
          <w:ilvl w:val="0"/>
          <w:numId w:val="4"/>
        </w:numPr>
        <w:spacing w:after="0" w:line="240" w:lineRule="auto"/>
        <w:rPr>
          <w:noProof/>
          <w:szCs w:val="24"/>
          <w:lang w:val="es-DO"/>
        </w:rPr>
      </w:pPr>
      <w:r>
        <w:rPr>
          <w:noProof/>
          <w:szCs w:val="24"/>
          <w:lang w:val="es-DO"/>
        </w:rPr>
        <w:t>Obtener  e</w:t>
      </w:r>
      <w:r w:rsidR="00742C5C" w:rsidRPr="00E346C1">
        <w:rPr>
          <w:noProof/>
          <w:szCs w:val="24"/>
          <w:lang w:val="es-DO"/>
        </w:rPr>
        <w:t>l 70% de la suma anterior</w:t>
      </w:r>
      <w:r w:rsidR="003E39D5">
        <w:rPr>
          <w:noProof/>
          <w:szCs w:val="24"/>
          <w:lang w:val="es-DO"/>
        </w:rPr>
        <w:t xml:space="preserve">  </w:t>
      </w:r>
      <w:r w:rsidR="00C4583C">
        <w:rPr>
          <w:noProof/>
          <w:szCs w:val="24"/>
          <w:lang w:val="es-DO"/>
        </w:rPr>
        <w:t>_________________</w:t>
      </w:r>
    </w:p>
    <w:p w:rsidR="00742C5C" w:rsidRPr="0033349E" w:rsidRDefault="003E39D5" w:rsidP="00742C5C">
      <w:pPr>
        <w:numPr>
          <w:ilvl w:val="0"/>
          <w:numId w:val="4"/>
        </w:numPr>
        <w:spacing w:after="0" w:line="240" w:lineRule="auto"/>
        <w:rPr>
          <w:noProof/>
          <w:szCs w:val="24"/>
          <w:lang w:val="es-DO"/>
        </w:rPr>
      </w:pPr>
      <w:r>
        <w:rPr>
          <w:noProof/>
          <w:szCs w:val="24"/>
          <w:lang w:val="es-DO"/>
        </w:rPr>
        <w:t>El 4</w:t>
      </w:r>
      <w:r w:rsidR="00742C5C" w:rsidRPr="0033349E">
        <w:rPr>
          <w:noProof/>
          <w:szCs w:val="24"/>
          <w:lang w:val="es-DO"/>
        </w:rPr>
        <w:t>0% de la suma anterior</w:t>
      </w:r>
      <w:r w:rsidR="00C4583C">
        <w:rPr>
          <w:noProof/>
          <w:szCs w:val="24"/>
          <w:lang w:val="es-DO"/>
        </w:rPr>
        <w:t xml:space="preserve">  ______________________</w:t>
      </w:r>
    </w:p>
    <w:p w:rsidR="00274B7C" w:rsidRPr="00274B7C" w:rsidRDefault="00274B7C" w:rsidP="00274B7C">
      <w:pPr>
        <w:ind w:left="360"/>
        <w:rPr>
          <w:lang w:val="es-ES"/>
        </w:rPr>
      </w:pPr>
      <w:r w:rsidRPr="00274B7C">
        <w:rPr>
          <w:lang w:val="es-ES"/>
        </w:rPr>
        <w:lastRenderedPageBreak/>
        <w:t>Enviar el archivo con el resultado de est</w:t>
      </w:r>
      <w:r>
        <w:rPr>
          <w:lang w:val="es-ES"/>
        </w:rPr>
        <w:t>os</w:t>
      </w:r>
      <w:r w:rsidRPr="00274B7C">
        <w:rPr>
          <w:lang w:val="es-ES"/>
        </w:rPr>
        <w:t xml:space="preserve"> ejercicio</w:t>
      </w:r>
      <w:r>
        <w:rPr>
          <w:lang w:val="es-ES"/>
        </w:rPr>
        <w:t>s</w:t>
      </w:r>
      <w:r w:rsidRPr="00274B7C">
        <w:rPr>
          <w:lang w:val="es-ES"/>
        </w:rPr>
        <w:t xml:space="preserve"> resuelto al correo:</w:t>
      </w:r>
    </w:p>
    <w:p w:rsidR="00274B7C" w:rsidRDefault="00274B7C" w:rsidP="00274B7C">
      <w:r>
        <w:rPr>
          <w:lang w:val="es-ES"/>
        </w:rPr>
        <w:t xml:space="preserve">       </w:t>
      </w:r>
      <w:r>
        <w:t>mayi_felix@hotmail.com</w:t>
      </w:r>
    </w:p>
    <w:p w:rsidR="00274B7C" w:rsidRDefault="00274B7C" w:rsidP="00274B7C">
      <w:pPr>
        <w:ind w:left="360"/>
      </w:pPr>
    </w:p>
    <w:p w:rsidR="00274B7C" w:rsidRDefault="00274B7C" w:rsidP="00274B7C">
      <w:pPr>
        <w:ind w:left="360"/>
      </w:pPr>
      <w:r w:rsidRPr="00274B7C">
        <w:rPr>
          <w:b/>
          <w:bCs/>
          <w:lang w:val="es-ES"/>
        </w:rPr>
        <w:t xml:space="preserve">Fecha de entrega: </w:t>
      </w:r>
      <w:r>
        <w:rPr>
          <w:lang w:val="es-ES"/>
        </w:rPr>
        <w:t>Viernes</w:t>
      </w:r>
      <w:r w:rsidRPr="00274B7C">
        <w:rPr>
          <w:lang w:val="es-ES"/>
        </w:rPr>
        <w:t xml:space="preserve"> 2</w:t>
      </w:r>
      <w:r>
        <w:rPr>
          <w:lang w:val="es-ES"/>
        </w:rPr>
        <w:t>4</w:t>
      </w:r>
      <w:r w:rsidRPr="00274B7C">
        <w:rPr>
          <w:lang w:val="es-ES"/>
        </w:rPr>
        <w:t xml:space="preserve"> de Abril. </w:t>
      </w:r>
      <w:r>
        <w:t>2020</w:t>
      </w:r>
    </w:p>
    <w:p w:rsidR="008F158D" w:rsidRPr="00EE168C" w:rsidRDefault="008F158D">
      <w:pPr>
        <w:rPr>
          <w:lang w:val="es-DO"/>
        </w:rPr>
      </w:pPr>
    </w:p>
    <w:sectPr w:rsidR="008F158D" w:rsidRPr="00EE168C" w:rsidSect="004B0CAC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A77"/>
    <w:multiLevelType w:val="hybridMultilevel"/>
    <w:tmpl w:val="5ED0A6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216"/>
    <w:multiLevelType w:val="hybridMultilevel"/>
    <w:tmpl w:val="C4FA3FB0"/>
    <w:lvl w:ilvl="0" w:tplc="CDB2DB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0109"/>
    <w:multiLevelType w:val="hybridMultilevel"/>
    <w:tmpl w:val="6A20B0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A067F"/>
    <w:multiLevelType w:val="hybridMultilevel"/>
    <w:tmpl w:val="C7C41E22"/>
    <w:lvl w:ilvl="0" w:tplc="9BB87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DD"/>
    <w:rsid w:val="000040AE"/>
    <w:rsid w:val="000B53AD"/>
    <w:rsid w:val="000B755E"/>
    <w:rsid w:val="001317E6"/>
    <w:rsid w:val="00174F2A"/>
    <w:rsid w:val="002247DC"/>
    <w:rsid w:val="0023085F"/>
    <w:rsid w:val="00274B7C"/>
    <w:rsid w:val="0033349E"/>
    <w:rsid w:val="003C6F7B"/>
    <w:rsid w:val="003E39D5"/>
    <w:rsid w:val="004B0CAC"/>
    <w:rsid w:val="005D342F"/>
    <w:rsid w:val="006940DC"/>
    <w:rsid w:val="00715439"/>
    <w:rsid w:val="00742C5C"/>
    <w:rsid w:val="0084575D"/>
    <w:rsid w:val="008F158D"/>
    <w:rsid w:val="009F145D"/>
    <w:rsid w:val="00AC6EF3"/>
    <w:rsid w:val="00B75B36"/>
    <w:rsid w:val="00B829D3"/>
    <w:rsid w:val="00C4583C"/>
    <w:rsid w:val="00D045DD"/>
    <w:rsid w:val="00D33A78"/>
    <w:rsid w:val="00DC06AF"/>
    <w:rsid w:val="00E346C1"/>
    <w:rsid w:val="00EE168C"/>
    <w:rsid w:val="00F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AD77"/>
  <w15:chartTrackingRefBased/>
  <w15:docId w15:val="{4DD971A9-EE36-4230-BCC4-6EFA0F8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EE168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E168C"/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paragraph" w:styleId="Textoindependiente">
    <w:name w:val="Body Text"/>
    <w:basedOn w:val="Normal"/>
    <w:link w:val="TextoindependienteCar"/>
    <w:rsid w:val="00742C5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C5C"/>
    <w:rPr>
      <w:rFonts w:ascii="Times New Roman" w:eastAsia="Times New Roman" w:hAnsi="Times New Roman" w:cs="Times New Roman"/>
      <w:b/>
      <w:bCs/>
      <w:sz w:val="28"/>
      <w:szCs w:val="20"/>
      <w:lang w:val="es-DO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C0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B-B82Epx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2020-04-15T15:51:00Z</dcterms:created>
  <dcterms:modified xsi:type="dcterms:W3CDTF">2020-04-15T15:51:00Z</dcterms:modified>
</cp:coreProperties>
</file>